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53ED1EA7" w14:textId="77777777" w:rsidTr="00ED102A">
        <w:tc>
          <w:tcPr>
            <w:tcW w:w="9576" w:type="dxa"/>
          </w:tcPr>
          <w:p w14:paraId="49431887" w14:textId="2B0A5A62" w:rsidR="00EF689B" w:rsidRDefault="00EF689B" w:rsidP="00ED102A">
            <w:pPr>
              <w:pStyle w:val="14bldcentr"/>
            </w:pPr>
            <w:r>
              <w:t xml:space="preserve">SOLICITATION </w:t>
            </w:r>
            <w:r w:rsidR="00932B83">
              <w:t xml:space="preserve">ADDENDUM </w:t>
            </w:r>
            <w:r w:rsidR="009B10A8">
              <w:t>ONE</w:t>
            </w:r>
            <w:r w:rsidR="00932B83">
              <w:t xml:space="preserve"> </w:t>
            </w:r>
          </w:p>
          <w:p w14:paraId="2E10C1F2" w14:textId="77777777" w:rsidR="00932B83" w:rsidRDefault="00932B83" w:rsidP="00ED102A">
            <w:pPr>
              <w:pStyle w:val="14bldcentr"/>
            </w:pPr>
            <w:r>
              <w:t>QUESTIONS AND ANSWERS</w:t>
            </w:r>
          </w:p>
        </w:tc>
      </w:tr>
    </w:tbl>
    <w:p w14:paraId="4ABDE048" w14:textId="77777777" w:rsidR="00932B83" w:rsidRDefault="00932B83" w:rsidP="00932B83">
      <w:pPr>
        <w:pStyle w:val="14bldcentr"/>
      </w:pPr>
    </w:p>
    <w:p w14:paraId="71520E68" w14:textId="4913B9DA"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9B10A8">
        <w:rPr>
          <w:b/>
          <w:bCs/>
          <w:sz w:val="28"/>
        </w:rPr>
        <w:t>125306 O5</w:t>
      </w:r>
    </w:p>
    <w:p w14:paraId="73FFAD54" w14:textId="48B76341" w:rsidR="000E2D5E" w:rsidRPr="00955B4D" w:rsidRDefault="009B10A8"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Custodial Services</w:t>
      </w:r>
    </w:p>
    <w:p w14:paraId="32A971F8" w14:textId="31570AA8" w:rsidR="000E2D5E" w:rsidRDefault="000E2D5E" w:rsidP="000E2D5E">
      <w:pPr>
        <w:pStyle w:val="Level1Body"/>
        <w:jc w:val="center"/>
        <w:rPr>
          <w:b/>
          <w:bCs/>
          <w:color w:val="auto"/>
          <w:sz w:val="28"/>
          <w:szCs w:val="28"/>
        </w:rPr>
      </w:pPr>
      <w:r w:rsidRPr="00A863B0">
        <w:rPr>
          <w:b/>
          <w:bCs/>
          <w:color w:val="auto"/>
          <w:sz w:val="28"/>
          <w:szCs w:val="28"/>
        </w:rPr>
        <w:t xml:space="preserve">Opening Date: </w:t>
      </w:r>
      <w:r w:rsidR="009B10A8">
        <w:rPr>
          <w:b/>
          <w:bCs/>
          <w:color w:val="auto"/>
          <w:sz w:val="28"/>
          <w:szCs w:val="28"/>
        </w:rPr>
        <w:t>July 14, 2026</w:t>
      </w:r>
    </w:p>
    <w:bookmarkEnd w:id="0"/>
    <w:p w14:paraId="2985F3B6" w14:textId="1A787FEF"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086976">
        <w:rPr>
          <w:b/>
          <w:bCs/>
          <w:color w:val="auto"/>
          <w:sz w:val="28"/>
          <w:szCs w:val="28"/>
        </w:rPr>
        <w:t>July 8, 2026</w:t>
      </w:r>
    </w:p>
    <w:p w14:paraId="12E364F0" w14:textId="77777777" w:rsidR="00932B83" w:rsidRPr="00BD5697" w:rsidRDefault="00932B83" w:rsidP="00932B83">
      <w:pPr>
        <w:pStyle w:val="Level3Body"/>
      </w:pPr>
    </w:p>
    <w:p w14:paraId="38A3FA2B"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34EB3ABB" wp14:editId="3F38F43F">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E01C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05C11931" w14:textId="77777777" w:rsidR="00932B83" w:rsidRPr="00BD5697" w:rsidRDefault="00932B83" w:rsidP="00932B83">
      <w:pPr>
        <w:pStyle w:val="Heading4"/>
      </w:pPr>
      <w:r>
        <w:t>Questions and Answers</w:t>
      </w:r>
    </w:p>
    <w:bookmarkEnd w:id="1"/>
    <w:p w14:paraId="6035FD94" w14:textId="77777777" w:rsidR="00EF689B" w:rsidRDefault="00EF689B" w:rsidP="00932B83">
      <w:pPr>
        <w:pStyle w:val="Level1Body"/>
      </w:pPr>
    </w:p>
    <w:p w14:paraId="124DFFF8" w14:textId="7BCAC243" w:rsidR="00932B83" w:rsidRPr="004C4D6B" w:rsidRDefault="00A802F9" w:rsidP="00932B83">
      <w:pPr>
        <w:pStyle w:val="Level1Body"/>
        <w:rPr>
          <w:rFonts w:cs="Arial"/>
          <w:sz w:val="20"/>
        </w:rPr>
      </w:pPr>
      <w:r>
        <w:rPr>
          <w:rFonts w:cs="Arial"/>
          <w:sz w:val="20"/>
        </w:rPr>
        <w:t>The following</w:t>
      </w:r>
      <w:r w:rsidR="00932B83" w:rsidRPr="004C4D6B">
        <w:rPr>
          <w:rFonts w:cs="Arial"/>
          <w:sz w:val="20"/>
        </w:rPr>
        <w:t xml:space="preserve"> are the questions submitted and answers provided for the above-mentioned solicitation. The questions and answers are to be considered as part of the solicitation. 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82"/>
        <w:gridCol w:w="1462"/>
        <w:gridCol w:w="1060"/>
        <w:gridCol w:w="2788"/>
        <w:gridCol w:w="2958"/>
      </w:tblGrid>
      <w:tr w:rsidR="00932B83" w:rsidRPr="004C4D6B" w14:paraId="69F495D1" w14:textId="77777777" w:rsidTr="00EF0205">
        <w:tc>
          <w:tcPr>
            <w:tcW w:w="1082" w:type="dxa"/>
            <w:shd w:val="clear" w:color="auto" w:fill="E6E6E6" w:themeFill="background1" w:themeFillShade="E6"/>
          </w:tcPr>
          <w:p w14:paraId="55618178" w14:textId="77777777" w:rsidR="00932B83" w:rsidRPr="004C4D6B" w:rsidRDefault="00932B83" w:rsidP="00932B83">
            <w:pPr>
              <w:pStyle w:val="Level1Body"/>
              <w:jc w:val="center"/>
              <w:rPr>
                <w:rFonts w:cs="Arial"/>
                <w:u w:val="single"/>
              </w:rPr>
            </w:pPr>
            <w:r w:rsidRPr="004C4D6B">
              <w:rPr>
                <w:rFonts w:cs="Arial"/>
                <w:u w:val="single"/>
              </w:rPr>
              <w:t>Question Number</w:t>
            </w:r>
          </w:p>
        </w:tc>
        <w:tc>
          <w:tcPr>
            <w:tcW w:w="1462" w:type="dxa"/>
            <w:shd w:val="clear" w:color="auto" w:fill="E6E6E6" w:themeFill="background1" w:themeFillShade="E6"/>
          </w:tcPr>
          <w:p w14:paraId="18B0B129" w14:textId="6733D14A" w:rsidR="00932B83" w:rsidRPr="004C4D6B" w:rsidRDefault="00932B83" w:rsidP="00932B83">
            <w:pPr>
              <w:pStyle w:val="Level1Body"/>
              <w:jc w:val="center"/>
              <w:rPr>
                <w:rFonts w:cs="Arial"/>
                <w:u w:val="single"/>
              </w:rPr>
            </w:pPr>
            <w:r w:rsidRPr="004C4D6B">
              <w:rPr>
                <w:rFonts w:cs="Arial"/>
                <w:u w:val="single"/>
              </w:rPr>
              <w:t>RFP</w:t>
            </w:r>
          </w:p>
          <w:p w14:paraId="4D894032" w14:textId="77777777" w:rsidR="00932B83" w:rsidRPr="004C4D6B" w:rsidRDefault="00932B83" w:rsidP="00932B83">
            <w:pPr>
              <w:pStyle w:val="Level1Body"/>
              <w:jc w:val="center"/>
              <w:rPr>
                <w:rFonts w:cs="Arial"/>
                <w:u w:val="single"/>
              </w:rPr>
            </w:pPr>
            <w:r w:rsidRPr="004C4D6B">
              <w:rPr>
                <w:rFonts w:cs="Arial"/>
                <w:u w:val="single"/>
              </w:rPr>
              <w:t>Section</w:t>
            </w:r>
          </w:p>
          <w:p w14:paraId="257090E3" w14:textId="77777777" w:rsidR="00932B83" w:rsidRPr="004C4D6B" w:rsidRDefault="00932B83" w:rsidP="00932B83">
            <w:pPr>
              <w:pStyle w:val="Level1Body"/>
              <w:jc w:val="center"/>
              <w:rPr>
                <w:rFonts w:cs="Arial"/>
                <w:u w:val="single"/>
              </w:rPr>
            </w:pPr>
            <w:r w:rsidRPr="004C4D6B">
              <w:rPr>
                <w:rFonts w:cs="Arial"/>
                <w:u w:val="single"/>
              </w:rPr>
              <w:t>Reference</w:t>
            </w:r>
          </w:p>
        </w:tc>
        <w:tc>
          <w:tcPr>
            <w:tcW w:w="1060" w:type="dxa"/>
            <w:shd w:val="clear" w:color="auto" w:fill="E6E6E6" w:themeFill="background1" w:themeFillShade="E6"/>
          </w:tcPr>
          <w:p w14:paraId="6A731C52" w14:textId="49F0DFD2" w:rsidR="00932B83" w:rsidRPr="004C4D6B" w:rsidRDefault="00932B83" w:rsidP="00932B83">
            <w:pPr>
              <w:pStyle w:val="Level1Body"/>
              <w:jc w:val="center"/>
              <w:rPr>
                <w:rFonts w:cs="Arial"/>
                <w:u w:val="single"/>
              </w:rPr>
            </w:pPr>
            <w:r w:rsidRPr="004C4D6B">
              <w:rPr>
                <w:rFonts w:cs="Arial"/>
                <w:u w:val="single"/>
              </w:rPr>
              <w:t>RFP</w:t>
            </w:r>
          </w:p>
          <w:p w14:paraId="5D12570B" w14:textId="77777777" w:rsidR="00932B83" w:rsidRPr="004C4D6B" w:rsidRDefault="00932B83" w:rsidP="00932B83">
            <w:pPr>
              <w:pStyle w:val="Level1Body"/>
              <w:jc w:val="center"/>
              <w:rPr>
                <w:rFonts w:cs="Arial"/>
                <w:u w:val="single"/>
              </w:rPr>
            </w:pPr>
            <w:r w:rsidRPr="004C4D6B">
              <w:rPr>
                <w:rFonts w:cs="Arial"/>
                <w:u w:val="single"/>
              </w:rPr>
              <w:t>Page Number</w:t>
            </w:r>
          </w:p>
        </w:tc>
        <w:tc>
          <w:tcPr>
            <w:tcW w:w="2788" w:type="dxa"/>
            <w:shd w:val="clear" w:color="auto" w:fill="E6E6E6" w:themeFill="background1" w:themeFillShade="E6"/>
          </w:tcPr>
          <w:p w14:paraId="23A2385C" w14:textId="77777777" w:rsidR="00932B83" w:rsidRPr="004C4D6B" w:rsidRDefault="00932B83" w:rsidP="00932B83">
            <w:pPr>
              <w:pStyle w:val="Level1Body"/>
              <w:jc w:val="center"/>
              <w:rPr>
                <w:rFonts w:cs="Arial"/>
                <w:u w:val="single"/>
              </w:rPr>
            </w:pPr>
            <w:r w:rsidRPr="004C4D6B">
              <w:rPr>
                <w:rFonts w:cs="Arial"/>
                <w:u w:val="single"/>
              </w:rPr>
              <w:t>Question</w:t>
            </w:r>
          </w:p>
        </w:tc>
        <w:tc>
          <w:tcPr>
            <w:tcW w:w="2958" w:type="dxa"/>
            <w:shd w:val="clear" w:color="auto" w:fill="E6E6E6" w:themeFill="background1" w:themeFillShade="E6"/>
          </w:tcPr>
          <w:p w14:paraId="2158E276" w14:textId="77777777" w:rsidR="00932B83" w:rsidRPr="004C4D6B" w:rsidRDefault="00932B83" w:rsidP="00932B83">
            <w:pPr>
              <w:pStyle w:val="Level1Body"/>
              <w:jc w:val="center"/>
              <w:rPr>
                <w:rFonts w:cs="Arial"/>
                <w:u w:val="single"/>
              </w:rPr>
            </w:pPr>
            <w:r w:rsidRPr="004C4D6B">
              <w:rPr>
                <w:rFonts w:cs="Arial"/>
                <w:u w:val="single"/>
              </w:rPr>
              <w:t>State Response</w:t>
            </w:r>
          </w:p>
        </w:tc>
      </w:tr>
      <w:tr w:rsidR="009B10A8" w:rsidRPr="004C4D6B" w14:paraId="5B01E15A" w14:textId="77777777" w:rsidTr="00EF0205">
        <w:tc>
          <w:tcPr>
            <w:tcW w:w="1082" w:type="dxa"/>
          </w:tcPr>
          <w:p w14:paraId="672461AB" w14:textId="77777777" w:rsidR="009B10A8" w:rsidRPr="004C4D6B" w:rsidRDefault="009B10A8" w:rsidP="009B10A8">
            <w:pPr>
              <w:pStyle w:val="Level1Body"/>
              <w:rPr>
                <w:rFonts w:cs="Arial"/>
              </w:rPr>
            </w:pPr>
            <w:r w:rsidRPr="004C4D6B">
              <w:rPr>
                <w:rFonts w:cs="Arial"/>
              </w:rPr>
              <w:t>1.</w:t>
            </w:r>
          </w:p>
        </w:tc>
        <w:tc>
          <w:tcPr>
            <w:tcW w:w="1462" w:type="dxa"/>
          </w:tcPr>
          <w:p w14:paraId="79C3C8CA" w14:textId="7EFA9CB1" w:rsidR="009B10A8" w:rsidRPr="004C4D6B" w:rsidRDefault="009B10A8" w:rsidP="00A0137E">
            <w:pPr>
              <w:pStyle w:val="Level1Body"/>
              <w:jc w:val="left"/>
              <w:rPr>
                <w:rFonts w:cs="Arial"/>
              </w:rPr>
            </w:pPr>
            <w:r w:rsidRPr="004C4D6B">
              <w:rPr>
                <w:rFonts w:cs="Arial"/>
              </w:rPr>
              <w:t>Section V.B / Attachments A &amp; B</w:t>
            </w:r>
          </w:p>
        </w:tc>
        <w:tc>
          <w:tcPr>
            <w:tcW w:w="1060" w:type="dxa"/>
          </w:tcPr>
          <w:p w14:paraId="66FAEE42" w14:textId="15906CEE" w:rsidR="009B10A8" w:rsidRPr="004C4D6B" w:rsidRDefault="009B10A8" w:rsidP="00A0137E">
            <w:pPr>
              <w:pStyle w:val="Level1Body"/>
              <w:jc w:val="left"/>
              <w:rPr>
                <w:rFonts w:cs="Arial"/>
              </w:rPr>
            </w:pPr>
            <w:r w:rsidRPr="004C4D6B">
              <w:rPr>
                <w:rFonts w:cs="Arial"/>
              </w:rPr>
              <w:t>Page 22</w:t>
            </w:r>
          </w:p>
        </w:tc>
        <w:tc>
          <w:tcPr>
            <w:tcW w:w="2788" w:type="dxa"/>
          </w:tcPr>
          <w:p w14:paraId="43934400" w14:textId="207ABF07" w:rsidR="009B10A8" w:rsidRPr="004C4D6B" w:rsidRDefault="009B10A8" w:rsidP="00A0137E">
            <w:pPr>
              <w:pStyle w:val="Level1Body"/>
              <w:jc w:val="left"/>
              <w:rPr>
                <w:rFonts w:cs="Arial"/>
              </w:rPr>
            </w:pPr>
            <w:r w:rsidRPr="004C4D6B">
              <w:rPr>
                <w:rFonts w:cs="Arial"/>
              </w:rPr>
              <w:t>Can the State confirm that all areas shown in Attachment A (excluding restricted areas) are included within the stated 33,443 cleanable square feet?</w:t>
            </w:r>
          </w:p>
        </w:tc>
        <w:tc>
          <w:tcPr>
            <w:tcW w:w="2958" w:type="dxa"/>
          </w:tcPr>
          <w:p w14:paraId="03A48EAB" w14:textId="05D1E3BA" w:rsidR="009B10A8" w:rsidRPr="004C4D6B" w:rsidRDefault="00914DB7" w:rsidP="004C4D6B">
            <w:pPr>
              <w:pStyle w:val="Level1Body"/>
              <w:jc w:val="left"/>
              <w:rPr>
                <w:rFonts w:cs="Arial"/>
              </w:rPr>
            </w:pPr>
            <w:r w:rsidRPr="004C4D6B">
              <w:rPr>
                <w:rFonts w:cs="Arial"/>
              </w:rPr>
              <w:t>Yes, we can confirm this.</w:t>
            </w:r>
          </w:p>
        </w:tc>
      </w:tr>
      <w:tr w:rsidR="009B10A8" w:rsidRPr="004C4D6B" w14:paraId="05ADE767" w14:textId="77777777" w:rsidTr="00EF0205">
        <w:tc>
          <w:tcPr>
            <w:tcW w:w="1082" w:type="dxa"/>
          </w:tcPr>
          <w:p w14:paraId="722F327A" w14:textId="77777777" w:rsidR="009B10A8" w:rsidRPr="004C4D6B" w:rsidRDefault="009B10A8" w:rsidP="009B10A8">
            <w:pPr>
              <w:pStyle w:val="Level1Body"/>
              <w:rPr>
                <w:rFonts w:cs="Arial"/>
              </w:rPr>
            </w:pPr>
            <w:r w:rsidRPr="004C4D6B">
              <w:rPr>
                <w:rFonts w:cs="Arial"/>
              </w:rPr>
              <w:t>2.</w:t>
            </w:r>
          </w:p>
        </w:tc>
        <w:tc>
          <w:tcPr>
            <w:tcW w:w="1462" w:type="dxa"/>
          </w:tcPr>
          <w:p w14:paraId="17B06B08" w14:textId="2CF3D139" w:rsidR="009B10A8" w:rsidRPr="004C4D6B" w:rsidRDefault="009B10A8" w:rsidP="00A0137E">
            <w:pPr>
              <w:pStyle w:val="Level1Body"/>
              <w:jc w:val="left"/>
              <w:rPr>
                <w:rFonts w:cs="Arial"/>
              </w:rPr>
            </w:pPr>
            <w:r w:rsidRPr="004C4D6B">
              <w:rPr>
                <w:rFonts w:cs="Arial"/>
              </w:rPr>
              <w:t>Section V.F Scope of Work</w:t>
            </w:r>
          </w:p>
        </w:tc>
        <w:tc>
          <w:tcPr>
            <w:tcW w:w="1060" w:type="dxa"/>
          </w:tcPr>
          <w:p w14:paraId="6606DD5B" w14:textId="292E56B8" w:rsidR="009B10A8" w:rsidRPr="004C4D6B" w:rsidRDefault="009B10A8" w:rsidP="00A0137E">
            <w:pPr>
              <w:pStyle w:val="Level1Body"/>
              <w:jc w:val="left"/>
              <w:rPr>
                <w:rFonts w:cs="Arial"/>
              </w:rPr>
            </w:pPr>
            <w:r w:rsidRPr="004C4D6B">
              <w:rPr>
                <w:rFonts w:cs="Arial"/>
              </w:rPr>
              <w:t>Page 23</w:t>
            </w:r>
          </w:p>
        </w:tc>
        <w:tc>
          <w:tcPr>
            <w:tcW w:w="2788" w:type="dxa"/>
          </w:tcPr>
          <w:p w14:paraId="3066E8E4" w14:textId="0716B81C" w:rsidR="009B10A8" w:rsidRPr="004C4D6B" w:rsidRDefault="009B10A8" w:rsidP="00A0137E">
            <w:pPr>
              <w:pStyle w:val="Level1Body"/>
              <w:jc w:val="left"/>
              <w:rPr>
                <w:rFonts w:cs="Arial"/>
              </w:rPr>
            </w:pPr>
            <w:r w:rsidRPr="004C4D6B">
              <w:rPr>
                <w:rFonts w:cs="Arial"/>
              </w:rPr>
              <w:t>Are the listed cleaning frequencies minimum requirements, with the expectation that services be increased as needed to maintain standards?</w:t>
            </w:r>
          </w:p>
        </w:tc>
        <w:tc>
          <w:tcPr>
            <w:tcW w:w="2958" w:type="dxa"/>
          </w:tcPr>
          <w:p w14:paraId="77013DD4" w14:textId="623500B5" w:rsidR="009B10A8" w:rsidRPr="004C4D6B" w:rsidRDefault="00914DB7" w:rsidP="004C4D6B">
            <w:pPr>
              <w:pStyle w:val="Level1Body"/>
              <w:jc w:val="left"/>
              <w:rPr>
                <w:rFonts w:cs="Arial"/>
              </w:rPr>
            </w:pPr>
            <w:r w:rsidRPr="004C4D6B">
              <w:rPr>
                <w:rFonts w:cs="Arial"/>
              </w:rPr>
              <w:t>Yes, these are minimum frequencies</w:t>
            </w:r>
            <w:r w:rsidR="004C4D6B">
              <w:rPr>
                <w:rFonts w:cs="Arial"/>
              </w:rPr>
              <w:t>.</w:t>
            </w:r>
            <w:r w:rsidRPr="004C4D6B">
              <w:rPr>
                <w:rFonts w:cs="Arial"/>
              </w:rPr>
              <w:t xml:space="preserve"> </w:t>
            </w:r>
            <w:r w:rsidR="00701874" w:rsidRPr="004C4D6B">
              <w:rPr>
                <w:rFonts w:cs="Arial"/>
              </w:rPr>
              <w:t>S</w:t>
            </w:r>
            <w:r w:rsidRPr="004C4D6B">
              <w:rPr>
                <w:rFonts w:cs="Arial"/>
              </w:rPr>
              <w:t xml:space="preserve">ee </w:t>
            </w:r>
            <w:r w:rsidR="00701874" w:rsidRPr="004C4D6B">
              <w:rPr>
                <w:rFonts w:cs="Arial"/>
              </w:rPr>
              <w:t xml:space="preserve">section </w:t>
            </w:r>
            <w:r w:rsidRPr="004C4D6B">
              <w:rPr>
                <w:rFonts w:cs="Arial"/>
              </w:rPr>
              <w:t>V.H</w:t>
            </w:r>
            <w:r w:rsidR="00701874" w:rsidRPr="004C4D6B">
              <w:rPr>
                <w:rFonts w:cs="Arial"/>
              </w:rPr>
              <w:t>.</w:t>
            </w:r>
            <w:r w:rsidRPr="004C4D6B">
              <w:rPr>
                <w:rFonts w:cs="Arial"/>
              </w:rPr>
              <w:t xml:space="preserve"> 24-25. </w:t>
            </w:r>
          </w:p>
        </w:tc>
      </w:tr>
      <w:tr w:rsidR="00EF0205" w:rsidRPr="004C4D6B" w14:paraId="34AD1E11" w14:textId="77777777" w:rsidTr="00EF0205">
        <w:tc>
          <w:tcPr>
            <w:tcW w:w="1082" w:type="dxa"/>
          </w:tcPr>
          <w:p w14:paraId="7B9317C8" w14:textId="77777777" w:rsidR="00EF0205" w:rsidRPr="004C4D6B" w:rsidRDefault="00EF0205" w:rsidP="00EF0205">
            <w:pPr>
              <w:pStyle w:val="Level1Body"/>
              <w:rPr>
                <w:rFonts w:cs="Arial"/>
              </w:rPr>
            </w:pPr>
            <w:r w:rsidRPr="004C4D6B">
              <w:rPr>
                <w:rFonts w:cs="Arial"/>
              </w:rPr>
              <w:t>3.</w:t>
            </w:r>
          </w:p>
        </w:tc>
        <w:tc>
          <w:tcPr>
            <w:tcW w:w="1462" w:type="dxa"/>
          </w:tcPr>
          <w:p w14:paraId="55044ACB" w14:textId="647D4072" w:rsidR="00EF0205" w:rsidRPr="004C4D6B" w:rsidRDefault="00EF0205" w:rsidP="00A0137E">
            <w:pPr>
              <w:pStyle w:val="Level1Body"/>
              <w:jc w:val="left"/>
              <w:rPr>
                <w:rFonts w:cs="Arial"/>
              </w:rPr>
            </w:pPr>
            <w:r w:rsidRPr="004C4D6B">
              <w:rPr>
                <w:rFonts w:cs="Arial"/>
              </w:rPr>
              <w:t>Section V.F Employees and Supervision</w:t>
            </w:r>
          </w:p>
        </w:tc>
        <w:tc>
          <w:tcPr>
            <w:tcW w:w="1060" w:type="dxa"/>
          </w:tcPr>
          <w:p w14:paraId="20B62065" w14:textId="1AD911D0" w:rsidR="00EF0205" w:rsidRPr="004C4D6B" w:rsidRDefault="00EF0205" w:rsidP="00A0137E">
            <w:pPr>
              <w:pStyle w:val="Level1Body"/>
              <w:jc w:val="left"/>
              <w:rPr>
                <w:rFonts w:cs="Arial"/>
              </w:rPr>
            </w:pPr>
            <w:r w:rsidRPr="004C4D6B">
              <w:rPr>
                <w:rFonts w:cs="Arial"/>
              </w:rPr>
              <w:t>Page 23</w:t>
            </w:r>
          </w:p>
        </w:tc>
        <w:tc>
          <w:tcPr>
            <w:tcW w:w="2788" w:type="dxa"/>
          </w:tcPr>
          <w:p w14:paraId="06058395" w14:textId="7BA028CA" w:rsidR="00EF0205" w:rsidRPr="004C4D6B" w:rsidRDefault="00EF0205" w:rsidP="00A0137E">
            <w:pPr>
              <w:pStyle w:val="Level1Body"/>
              <w:jc w:val="left"/>
              <w:rPr>
                <w:rFonts w:cs="Arial"/>
              </w:rPr>
            </w:pPr>
            <w:r w:rsidRPr="004C4D6B">
              <w:rPr>
                <w:rFonts w:cs="Arial"/>
              </w:rPr>
              <w:t>What is the current staffing model (number of personnel and total weekly hours) used to service this facility?</w:t>
            </w:r>
          </w:p>
        </w:tc>
        <w:tc>
          <w:tcPr>
            <w:tcW w:w="2958" w:type="dxa"/>
          </w:tcPr>
          <w:p w14:paraId="1C95AA25" w14:textId="10AB3E79" w:rsidR="00EF0205" w:rsidRPr="004C4D6B" w:rsidRDefault="00E8339B" w:rsidP="004C4D6B">
            <w:pPr>
              <w:pStyle w:val="Level1Body"/>
              <w:jc w:val="left"/>
              <w:rPr>
                <w:rFonts w:cs="Arial"/>
              </w:rPr>
            </w:pPr>
            <w:r w:rsidRPr="004C4D6B">
              <w:rPr>
                <w:rFonts w:cs="Arial"/>
              </w:rPr>
              <w:t>There are currently 2 staff</w:t>
            </w:r>
            <w:r w:rsidR="004C4D6B">
              <w:rPr>
                <w:rFonts w:cs="Arial"/>
              </w:rPr>
              <w:t xml:space="preserve"> members</w:t>
            </w:r>
            <w:r w:rsidRPr="004C4D6B">
              <w:rPr>
                <w:rFonts w:cs="Arial"/>
              </w:rPr>
              <w:t xml:space="preserve">, cleaning 40 </w:t>
            </w:r>
            <w:r w:rsidR="004C4D6B">
              <w:rPr>
                <w:rFonts w:cs="Arial"/>
              </w:rPr>
              <w:t>man-hours</w:t>
            </w:r>
            <w:r w:rsidRPr="004C4D6B">
              <w:rPr>
                <w:rFonts w:cs="Arial"/>
              </w:rPr>
              <w:t xml:space="preserve"> weekly.  </w:t>
            </w:r>
            <w:r w:rsidR="00701874" w:rsidRPr="004C4D6B">
              <w:rPr>
                <w:rFonts w:cs="Arial"/>
              </w:rPr>
              <w:t>See</w:t>
            </w:r>
            <w:r w:rsidRPr="004C4D6B">
              <w:rPr>
                <w:rFonts w:cs="Arial"/>
              </w:rPr>
              <w:t xml:space="preserve"> </w:t>
            </w:r>
            <w:r w:rsidR="00701874" w:rsidRPr="004C4D6B">
              <w:rPr>
                <w:rFonts w:cs="Arial"/>
              </w:rPr>
              <w:t>A</w:t>
            </w:r>
            <w:r w:rsidRPr="004C4D6B">
              <w:rPr>
                <w:rFonts w:cs="Arial"/>
              </w:rPr>
              <w:t xml:space="preserve">ttachment B </w:t>
            </w:r>
            <w:r w:rsidR="00701874" w:rsidRPr="004C4D6B">
              <w:rPr>
                <w:rFonts w:cs="Arial"/>
              </w:rPr>
              <w:t>for</w:t>
            </w:r>
            <w:r w:rsidRPr="004C4D6B">
              <w:rPr>
                <w:rFonts w:cs="Arial"/>
              </w:rPr>
              <w:t xml:space="preserve"> minimum hours and cleaning </w:t>
            </w:r>
            <w:r w:rsidR="004C4D6B" w:rsidRPr="004C4D6B">
              <w:rPr>
                <w:rFonts w:cs="Arial"/>
              </w:rPr>
              <w:t>times.</w:t>
            </w:r>
            <w:r w:rsidRPr="004C4D6B">
              <w:rPr>
                <w:rFonts w:cs="Arial"/>
              </w:rPr>
              <w:t xml:space="preserve"> </w:t>
            </w:r>
          </w:p>
        </w:tc>
      </w:tr>
      <w:tr w:rsidR="00EF0205" w:rsidRPr="004C4D6B" w14:paraId="2CAEABB0" w14:textId="77777777" w:rsidTr="00EF0205">
        <w:tc>
          <w:tcPr>
            <w:tcW w:w="1082" w:type="dxa"/>
          </w:tcPr>
          <w:p w14:paraId="706736BC" w14:textId="77777777" w:rsidR="00EF0205" w:rsidRPr="004C4D6B" w:rsidRDefault="00EF0205" w:rsidP="00EF0205">
            <w:pPr>
              <w:pStyle w:val="Level1Body"/>
              <w:rPr>
                <w:rFonts w:cs="Arial"/>
              </w:rPr>
            </w:pPr>
            <w:r w:rsidRPr="004C4D6B">
              <w:rPr>
                <w:rFonts w:cs="Arial"/>
              </w:rPr>
              <w:t>4.</w:t>
            </w:r>
          </w:p>
        </w:tc>
        <w:tc>
          <w:tcPr>
            <w:tcW w:w="1462" w:type="dxa"/>
          </w:tcPr>
          <w:p w14:paraId="42ABABDB" w14:textId="32DFD9AC" w:rsidR="00EF0205" w:rsidRPr="004C4D6B" w:rsidRDefault="00EF0205" w:rsidP="00A0137E">
            <w:pPr>
              <w:pStyle w:val="Level1Body"/>
              <w:jc w:val="left"/>
              <w:rPr>
                <w:rFonts w:cs="Arial"/>
              </w:rPr>
            </w:pPr>
            <w:r w:rsidRPr="004C4D6B">
              <w:rPr>
                <w:rFonts w:cs="Arial"/>
              </w:rPr>
              <w:t>Section V.F Employees and Supervision</w:t>
            </w:r>
          </w:p>
        </w:tc>
        <w:tc>
          <w:tcPr>
            <w:tcW w:w="1060" w:type="dxa"/>
          </w:tcPr>
          <w:p w14:paraId="4EECB737" w14:textId="50AE6D9B" w:rsidR="00EF0205" w:rsidRPr="004C4D6B" w:rsidRDefault="00EF0205" w:rsidP="00A0137E">
            <w:pPr>
              <w:pStyle w:val="Level1Body"/>
              <w:jc w:val="left"/>
              <w:rPr>
                <w:rFonts w:cs="Arial"/>
              </w:rPr>
            </w:pPr>
            <w:r w:rsidRPr="004C4D6B">
              <w:rPr>
                <w:rFonts w:cs="Arial"/>
              </w:rPr>
              <w:t>Page 23</w:t>
            </w:r>
          </w:p>
        </w:tc>
        <w:tc>
          <w:tcPr>
            <w:tcW w:w="2788" w:type="dxa"/>
          </w:tcPr>
          <w:p w14:paraId="6A3D9DD5" w14:textId="4EAFB025" w:rsidR="00EF0205" w:rsidRPr="004C4D6B" w:rsidRDefault="00EF0205" w:rsidP="00A0137E">
            <w:pPr>
              <w:pStyle w:val="Level1Body"/>
              <w:jc w:val="left"/>
              <w:rPr>
                <w:rFonts w:cs="Arial"/>
              </w:rPr>
            </w:pPr>
            <w:r w:rsidRPr="004C4D6B">
              <w:rPr>
                <w:rFonts w:cs="Arial"/>
              </w:rPr>
              <w:t>What is the expected turnaround time for employee background checks and approval for site access?</w:t>
            </w:r>
          </w:p>
        </w:tc>
        <w:tc>
          <w:tcPr>
            <w:tcW w:w="2958" w:type="dxa"/>
          </w:tcPr>
          <w:p w14:paraId="58DCE0F3" w14:textId="30D03DA0" w:rsidR="00EF0205" w:rsidRPr="004C4D6B" w:rsidRDefault="00701874" w:rsidP="004C4D6B">
            <w:pPr>
              <w:pStyle w:val="Level1Body"/>
              <w:jc w:val="left"/>
              <w:rPr>
                <w:rFonts w:cs="Arial"/>
              </w:rPr>
            </w:pPr>
            <w:r w:rsidRPr="004C4D6B">
              <w:rPr>
                <w:rFonts w:cs="Arial"/>
              </w:rPr>
              <w:t>S</w:t>
            </w:r>
            <w:r w:rsidR="00E8339B" w:rsidRPr="004C4D6B">
              <w:rPr>
                <w:rFonts w:cs="Arial"/>
              </w:rPr>
              <w:t>ee</w:t>
            </w:r>
            <w:r w:rsidRPr="004C4D6B">
              <w:rPr>
                <w:rFonts w:cs="Arial"/>
              </w:rPr>
              <w:t xml:space="preserve"> section</w:t>
            </w:r>
            <w:r w:rsidR="00E8339B" w:rsidRPr="004C4D6B">
              <w:rPr>
                <w:rFonts w:cs="Arial"/>
              </w:rPr>
              <w:t xml:space="preserve"> V.F</w:t>
            </w:r>
            <w:r w:rsidRPr="004C4D6B">
              <w:rPr>
                <w:rFonts w:cs="Arial"/>
              </w:rPr>
              <w:t>.</w:t>
            </w:r>
            <w:r w:rsidR="00E8339B" w:rsidRPr="004C4D6B">
              <w:rPr>
                <w:rFonts w:cs="Arial"/>
              </w:rPr>
              <w:t>1 for turnaround of background checks.</w:t>
            </w:r>
          </w:p>
        </w:tc>
      </w:tr>
      <w:tr w:rsidR="00EF0205" w:rsidRPr="004C4D6B" w14:paraId="28FF3EC7" w14:textId="77777777" w:rsidTr="00EF0205">
        <w:tc>
          <w:tcPr>
            <w:tcW w:w="1082" w:type="dxa"/>
          </w:tcPr>
          <w:p w14:paraId="43FD3782" w14:textId="77777777" w:rsidR="00EF0205" w:rsidRPr="004C4D6B" w:rsidRDefault="00EF0205" w:rsidP="00EF0205">
            <w:pPr>
              <w:pStyle w:val="Level1Body"/>
              <w:rPr>
                <w:rFonts w:cs="Arial"/>
              </w:rPr>
            </w:pPr>
            <w:r w:rsidRPr="004C4D6B">
              <w:rPr>
                <w:rFonts w:cs="Arial"/>
              </w:rPr>
              <w:t>5.</w:t>
            </w:r>
          </w:p>
        </w:tc>
        <w:tc>
          <w:tcPr>
            <w:tcW w:w="1462" w:type="dxa"/>
          </w:tcPr>
          <w:p w14:paraId="64475562" w14:textId="49E3937E" w:rsidR="00EF0205" w:rsidRPr="004C4D6B" w:rsidRDefault="00EF0205" w:rsidP="00A0137E">
            <w:pPr>
              <w:pStyle w:val="Level1Body"/>
              <w:jc w:val="left"/>
              <w:rPr>
                <w:rFonts w:cs="Arial"/>
              </w:rPr>
            </w:pPr>
            <w:r w:rsidRPr="004C4D6B">
              <w:rPr>
                <w:rFonts w:cs="Arial"/>
              </w:rPr>
              <w:t>Section V.F Equipment &amp; Cleaning Supplies</w:t>
            </w:r>
          </w:p>
        </w:tc>
        <w:tc>
          <w:tcPr>
            <w:tcW w:w="1060" w:type="dxa"/>
          </w:tcPr>
          <w:p w14:paraId="1FA384AB" w14:textId="3A9E1354" w:rsidR="00EF0205" w:rsidRPr="004C4D6B" w:rsidRDefault="00EF0205" w:rsidP="00A0137E">
            <w:pPr>
              <w:pStyle w:val="Level1Body"/>
              <w:jc w:val="left"/>
              <w:rPr>
                <w:rFonts w:cs="Arial"/>
              </w:rPr>
            </w:pPr>
            <w:r w:rsidRPr="004C4D6B">
              <w:rPr>
                <w:rFonts w:cs="Arial"/>
              </w:rPr>
              <w:t>Page 23</w:t>
            </w:r>
          </w:p>
        </w:tc>
        <w:tc>
          <w:tcPr>
            <w:tcW w:w="2788" w:type="dxa"/>
          </w:tcPr>
          <w:p w14:paraId="5F255575" w14:textId="5D584D17" w:rsidR="00EF0205" w:rsidRPr="004C4D6B" w:rsidRDefault="00EF0205" w:rsidP="00A0137E">
            <w:pPr>
              <w:pStyle w:val="Level1Body"/>
              <w:jc w:val="left"/>
              <w:rPr>
                <w:rFonts w:cs="Arial"/>
              </w:rPr>
            </w:pPr>
            <w:r w:rsidRPr="004C4D6B">
              <w:rPr>
                <w:rFonts w:cs="Arial"/>
              </w:rPr>
              <w:t>Can the State provide a definitive list of consumables and supplies provided versus those required to be supplied by the vendor?</w:t>
            </w:r>
          </w:p>
        </w:tc>
        <w:tc>
          <w:tcPr>
            <w:tcW w:w="2958" w:type="dxa"/>
          </w:tcPr>
          <w:p w14:paraId="364C5254" w14:textId="0C089FA6" w:rsidR="00EF0205" w:rsidRPr="004C4D6B" w:rsidRDefault="00FB1775" w:rsidP="004C4D6B">
            <w:pPr>
              <w:pStyle w:val="Level1Body"/>
              <w:jc w:val="left"/>
              <w:rPr>
                <w:rFonts w:cs="Arial"/>
              </w:rPr>
            </w:pPr>
            <w:r w:rsidRPr="004C4D6B">
              <w:rPr>
                <w:rFonts w:cs="Arial"/>
              </w:rPr>
              <w:t xml:space="preserve">See </w:t>
            </w:r>
            <w:r w:rsidR="004C4D6B">
              <w:rPr>
                <w:rFonts w:cs="Arial"/>
              </w:rPr>
              <w:t xml:space="preserve">the </w:t>
            </w:r>
            <w:r w:rsidR="004C4D6B" w:rsidRPr="004C4D6B">
              <w:rPr>
                <w:rFonts w:cs="Arial"/>
              </w:rPr>
              <w:t>list below for</w:t>
            </w:r>
            <w:r w:rsidRPr="004C4D6B">
              <w:rPr>
                <w:rFonts w:cs="Arial"/>
              </w:rPr>
              <w:t xml:space="preserve"> Troop A Consumables. The Vendor will need to provide the equipment listed on </w:t>
            </w:r>
            <w:r w:rsidR="004C4D6B" w:rsidRPr="004C4D6B">
              <w:rPr>
                <w:rFonts w:cs="Arial"/>
              </w:rPr>
              <w:t>pg.</w:t>
            </w:r>
            <w:r w:rsidRPr="004C4D6B">
              <w:rPr>
                <w:rFonts w:cs="Arial"/>
              </w:rPr>
              <w:t xml:space="preserve"> 23, section </w:t>
            </w:r>
            <w:r w:rsidR="00B40DED" w:rsidRPr="004C4D6B">
              <w:rPr>
                <w:rFonts w:cs="Arial"/>
              </w:rPr>
              <w:t>V.F.</w:t>
            </w:r>
            <w:r w:rsidRPr="004C4D6B">
              <w:rPr>
                <w:rFonts w:cs="Arial"/>
              </w:rPr>
              <w:t>5. A-E.</w:t>
            </w:r>
          </w:p>
        </w:tc>
      </w:tr>
      <w:tr w:rsidR="00EF0205" w:rsidRPr="004C4D6B" w14:paraId="1B64C2B0" w14:textId="77777777" w:rsidTr="00EF0205">
        <w:tc>
          <w:tcPr>
            <w:tcW w:w="1082" w:type="dxa"/>
          </w:tcPr>
          <w:p w14:paraId="1899AB0D" w14:textId="1FD22826" w:rsidR="00EF0205" w:rsidRPr="004C4D6B" w:rsidRDefault="00EF0205" w:rsidP="00EF0205">
            <w:pPr>
              <w:pStyle w:val="Level1Body"/>
              <w:rPr>
                <w:rFonts w:cs="Arial"/>
              </w:rPr>
            </w:pPr>
            <w:r w:rsidRPr="004C4D6B">
              <w:rPr>
                <w:rFonts w:cs="Arial"/>
              </w:rPr>
              <w:t>6.</w:t>
            </w:r>
          </w:p>
        </w:tc>
        <w:tc>
          <w:tcPr>
            <w:tcW w:w="1462" w:type="dxa"/>
          </w:tcPr>
          <w:p w14:paraId="5A43C246" w14:textId="19E60661" w:rsidR="00EF0205" w:rsidRPr="004C4D6B" w:rsidRDefault="00EF0205" w:rsidP="00A0137E">
            <w:pPr>
              <w:pStyle w:val="Level1Body"/>
              <w:jc w:val="left"/>
              <w:rPr>
                <w:rFonts w:cs="Arial"/>
              </w:rPr>
            </w:pPr>
            <w:r w:rsidRPr="004C4D6B">
              <w:rPr>
                <w:rFonts w:cs="Arial"/>
              </w:rPr>
              <w:t>Section III.F Prices</w:t>
            </w:r>
          </w:p>
        </w:tc>
        <w:tc>
          <w:tcPr>
            <w:tcW w:w="1060" w:type="dxa"/>
          </w:tcPr>
          <w:p w14:paraId="7480EC3D" w14:textId="288F7CB3" w:rsidR="00EF0205" w:rsidRPr="004C4D6B" w:rsidRDefault="00EF0205" w:rsidP="00A0137E">
            <w:pPr>
              <w:pStyle w:val="Level1Body"/>
              <w:jc w:val="left"/>
              <w:rPr>
                <w:rFonts w:cs="Arial"/>
              </w:rPr>
            </w:pPr>
            <w:r w:rsidRPr="004C4D6B">
              <w:rPr>
                <w:rFonts w:cs="Arial"/>
              </w:rPr>
              <w:t>Page 16</w:t>
            </w:r>
          </w:p>
        </w:tc>
        <w:tc>
          <w:tcPr>
            <w:tcW w:w="2788" w:type="dxa"/>
          </w:tcPr>
          <w:p w14:paraId="10F3E72F" w14:textId="23AFA11E" w:rsidR="00EF0205" w:rsidRPr="004C4D6B" w:rsidRDefault="00EF0205" w:rsidP="00A0137E">
            <w:pPr>
              <w:pStyle w:val="Level1Body"/>
              <w:jc w:val="left"/>
              <w:rPr>
                <w:rFonts w:cs="Arial"/>
              </w:rPr>
            </w:pPr>
            <w:r w:rsidRPr="004C4D6B">
              <w:rPr>
                <w:rFonts w:cs="Arial"/>
              </w:rPr>
              <w:t>How should vendors price and invoice for additional or 'as-needed' services outside of the base scope?</w:t>
            </w:r>
          </w:p>
        </w:tc>
        <w:tc>
          <w:tcPr>
            <w:tcW w:w="2958" w:type="dxa"/>
          </w:tcPr>
          <w:p w14:paraId="77F8B5D6" w14:textId="7BE512AC" w:rsidR="00EF0205" w:rsidRPr="004C4D6B" w:rsidRDefault="002A21C6" w:rsidP="004C4D6B">
            <w:pPr>
              <w:pStyle w:val="Level1Body"/>
              <w:jc w:val="left"/>
              <w:rPr>
                <w:rFonts w:cs="Arial"/>
              </w:rPr>
            </w:pPr>
            <w:r w:rsidRPr="004C4D6B">
              <w:rPr>
                <w:rFonts w:cs="Arial"/>
              </w:rPr>
              <w:t>A separate quote would be needed</w:t>
            </w:r>
            <w:r w:rsidR="004C4D6B">
              <w:rPr>
                <w:rFonts w:cs="Arial"/>
              </w:rPr>
              <w:t>,</w:t>
            </w:r>
            <w:r w:rsidRPr="004C4D6B">
              <w:rPr>
                <w:rFonts w:cs="Arial"/>
              </w:rPr>
              <w:t xml:space="preserve"> and if accepted</w:t>
            </w:r>
            <w:r w:rsidR="004C4D6B">
              <w:rPr>
                <w:rFonts w:cs="Arial"/>
              </w:rPr>
              <w:t>,</w:t>
            </w:r>
            <w:r w:rsidRPr="004C4D6B">
              <w:rPr>
                <w:rFonts w:cs="Arial"/>
              </w:rPr>
              <w:t xml:space="preserve"> it would be invoiced separately.</w:t>
            </w:r>
          </w:p>
        </w:tc>
      </w:tr>
      <w:tr w:rsidR="00EF0205" w:rsidRPr="004C4D6B" w14:paraId="215F8DCE" w14:textId="77777777" w:rsidTr="00EF0205">
        <w:tc>
          <w:tcPr>
            <w:tcW w:w="1082" w:type="dxa"/>
          </w:tcPr>
          <w:p w14:paraId="6FFFE63F" w14:textId="2ACE8C7B" w:rsidR="00EF0205" w:rsidRPr="004C4D6B" w:rsidRDefault="00EF0205" w:rsidP="00EF0205">
            <w:pPr>
              <w:pStyle w:val="Level1Body"/>
              <w:rPr>
                <w:rFonts w:cs="Arial"/>
              </w:rPr>
            </w:pPr>
            <w:r w:rsidRPr="004C4D6B">
              <w:rPr>
                <w:rFonts w:cs="Arial"/>
              </w:rPr>
              <w:lastRenderedPageBreak/>
              <w:t>7.</w:t>
            </w:r>
          </w:p>
        </w:tc>
        <w:tc>
          <w:tcPr>
            <w:tcW w:w="1462" w:type="dxa"/>
          </w:tcPr>
          <w:p w14:paraId="4730F520" w14:textId="0863B839" w:rsidR="00EF0205" w:rsidRPr="004C4D6B" w:rsidRDefault="00EF0205" w:rsidP="00A0137E">
            <w:pPr>
              <w:pStyle w:val="Level1Body"/>
              <w:jc w:val="left"/>
              <w:rPr>
                <w:rFonts w:cs="Arial"/>
              </w:rPr>
            </w:pPr>
            <w:r w:rsidRPr="004C4D6B">
              <w:rPr>
                <w:rFonts w:cs="Arial"/>
              </w:rPr>
              <w:t>Section V.G Work Plan</w:t>
            </w:r>
          </w:p>
        </w:tc>
        <w:tc>
          <w:tcPr>
            <w:tcW w:w="1060" w:type="dxa"/>
          </w:tcPr>
          <w:p w14:paraId="3C389861" w14:textId="749F29F6" w:rsidR="00EF0205" w:rsidRPr="004C4D6B" w:rsidRDefault="00EF0205" w:rsidP="00A0137E">
            <w:pPr>
              <w:pStyle w:val="Level1Body"/>
              <w:jc w:val="left"/>
              <w:rPr>
                <w:rFonts w:cs="Arial"/>
              </w:rPr>
            </w:pPr>
            <w:r w:rsidRPr="004C4D6B">
              <w:rPr>
                <w:rFonts w:cs="Arial"/>
              </w:rPr>
              <w:t>Page 24</w:t>
            </w:r>
          </w:p>
        </w:tc>
        <w:tc>
          <w:tcPr>
            <w:tcW w:w="2788" w:type="dxa"/>
          </w:tcPr>
          <w:p w14:paraId="623A8D37" w14:textId="1919B89B" w:rsidR="00EF0205" w:rsidRPr="004C4D6B" w:rsidRDefault="00EF0205" w:rsidP="00A0137E">
            <w:pPr>
              <w:pStyle w:val="Level1Body"/>
              <w:jc w:val="left"/>
              <w:rPr>
                <w:rFonts w:cs="Arial"/>
              </w:rPr>
            </w:pPr>
            <w:r w:rsidRPr="004C4D6B">
              <w:rPr>
                <w:rFonts w:cs="Arial"/>
              </w:rPr>
              <w:t>Can the State provide historical data or estimates for additional man-hours typically required beyond the base service level?</w:t>
            </w:r>
          </w:p>
        </w:tc>
        <w:tc>
          <w:tcPr>
            <w:tcW w:w="2958" w:type="dxa"/>
          </w:tcPr>
          <w:p w14:paraId="7B4857DC" w14:textId="7DF63254" w:rsidR="00EF0205" w:rsidRPr="004C4D6B" w:rsidRDefault="00701874" w:rsidP="004C4D6B">
            <w:pPr>
              <w:pStyle w:val="Level1Body"/>
              <w:jc w:val="left"/>
              <w:rPr>
                <w:rFonts w:cs="Arial"/>
              </w:rPr>
            </w:pPr>
            <w:r w:rsidRPr="004C4D6B">
              <w:rPr>
                <w:rFonts w:cs="Arial"/>
              </w:rPr>
              <w:t xml:space="preserve">With this being a </w:t>
            </w:r>
            <w:r w:rsidR="002A21C6" w:rsidRPr="004C4D6B">
              <w:rPr>
                <w:rFonts w:cs="Arial"/>
              </w:rPr>
              <w:t xml:space="preserve">new facility, there is no historical </w:t>
            </w:r>
            <w:r w:rsidR="004C4D6B" w:rsidRPr="004C4D6B">
              <w:rPr>
                <w:rFonts w:cs="Arial"/>
              </w:rPr>
              <w:t>data.</w:t>
            </w:r>
            <w:r w:rsidR="002A21C6" w:rsidRPr="004C4D6B">
              <w:rPr>
                <w:rFonts w:cs="Arial"/>
              </w:rPr>
              <w:t xml:space="preserve">  </w:t>
            </w:r>
          </w:p>
        </w:tc>
      </w:tr>
      <w:tr w:rsidR="005663BA" w:rsidRPr="004C4D6B" w14:paraId="7249DB44" w14:textId="77777777" w:rsidTr="00EF0205">
        <w:tc>
          <w:tcPr>
            <w:tcW w:w="1082" w:type="dxa"/>
          </w:tcPr>
          <w:p w14:paraId="1A4C59C7" w14:textId="2F934176" w:rsidR="005663BA" w:rsidRPr="004C4D6B" w:rsidRDefault="005663BA" w:rsidP="00EF0205">
            <w:pPr>
              <w:pStyle w:val="Level1Body"/>
              <w:rPr>
                <w:rFonts w:cs="Arial"/>
              </w:rPr>
            </w:pPr>
            <w:r w:rsidRPr="004C4D6B">
              <w:rPr>
                <w:rFonts w:cs="Arial"/>
              </w:rPr>
              <w:t>8.</w:t>
            </w:r>
          </w:p>
        </w:tc>
        <w:tc>
          <w:tcPr>
            <w:tcW w:w="1462" w:type="dxa"/>
          </w:tcPr>
          <w:p w14:paraId="7E1CDAEA" w14:textId="795DBCE6" w:rsidR="005663BA" w:rsidRPr="004C4D6B" w:rsidRDefault="005663BA" w:rsidP="00A0137E">
            <w:pPr>
              <w:pStyle w:val="Level1Body"/>
              <w:jc w:val="left"/>
              <w:rPr>
                <w:rFonts w:cs="Arial"/>
              </w:rPr>
            </w:pPr>
            <w:r w:rsidRPr="004C4D6B">
              <w:rPr>
                <w:rFonts w:cs="Arial"/>
              </w:rPr>
              <w:t>Section V.F Scope of Work</w:t>
            </w:r>
          </w:p>
        </w:tc>
        <w:tc>
          <w:tcPr>
            <w:tcW w:w="1060" w:type="dxa"/>
          </w:tcPr>
          <w:p w14:paraId="340748FB" w14:textId="4A3192BE" w:rsidR="005663BA" w:rsidRPr="004C4D6B" w:rsidRDefault="005663BA" w:rsidP="00A0137E">
            <w:pPr>
              <w:pStyle w:val="Level1Body"/>
              <w:jc w:val="left"/>
              <w:rPr>
                <w:rFonts w:cs="Arial"/>
              </w:rPr>
            </w:pPr>
            <w:r w:rsidRPr="004C4D6B">
              <w:rPr>
                <w:rFonts w:cs="Arial"/>
              </w:rPr>
              <w:t>Page 23</w:t>
            </w:r>
          </w:p>
        </w:tc>
        <w:tc>
          <w:tcPr>
            <w:tcW w:w="2788" w:type="dxa"/>
          </w:tcPr>
          <w:p w14:paraId="16879655" w14:textId="631AFB91" w:rsidR="005663BA" w:rsidRPr="004C4D6B" w:rsidRDefault="005663BA" w:rsidP="00A0137E">
            <w:pPr>
              <w:pStyle w:val="Level1Body"/>
              <w:jc w:val="left"/>
              <w:rPr>
                <w:rFonts w:cs="Arial"/>
              </w:rPr>
            </w:pPr>
            <w:r w:rsidRPr="004C4D6B">
              <w:rPr>
                <w:rFonts w:cs="Arial"/>
              </w:rPr>
              <w:t>Can the State provide the total number of interior and exterior windows and clarify the expected cleaning frequency?</w:t>
            </w:r>
          </w:p>
        </w:tc>
        <w:tc>
          <w:tcPr>
            <w:tcW w:w="2958" w:type="dxa"/>
          </w:tcPr>
          <w:p w14:paraId="6A9F09DA" w14:textId="5E1193A8" w:rsidR="005663BA" w:rsidRPr="004C4D6B" w:rsidRDefault="00FB1775" w:rsidP="004C4D6B">
            <w:pPr>
              <w:pStyle w:val="Level1Body"/>
              <w:jc w:val="left"/>
              <w:rPr>
                <w:rFonts w:cs="Arial"/>
              </w:rPr>
            </w:pPr>
            <w:r w:rsidRPr="004C4D6B">
              <w:rPr>
                <w:rFonts w:cs="Arial"/>
              </w:rPr>
              <w:t>There are 273 interior and exterior windows</w:t>
            </w:r>
            <w:r w:rsidR="004C4D6B" w:rsidRPr="004C4D6B">
              <w:rPr>
                <w:rFonts w:cs="Arial"/>
              </w:rPr>
              <w:t>,</w:t>
            </w:r>
            <w:r w:rsidR="004C4D6B">
              <w:rPr>
                <w:rFonts w:cs="Arial"/>
              </w:rPr>
              <w:t xml:space="preserve"> with </w:t>
            </w:r>
            <w:r w:rsidR="004C4D6B" w:rsidRPr="004C4D6B">
              <w:rPr>
                <w:rFonts w:cs="Arial"/>
              </w:rPr>
              <w:t>59</w:t>
            </w:r>
            <w:r w:rsidRPr="004C4D6B">
              <w:rPr>
                <w:rFonts w:cs="Arial"/>
              </w:rPr>
              <w:t xml:space="preserve"> interior (inner office) windows. </w:t>
            </w:r>
          </w:p>
        </w:tc>
      </w:tr>
      <w:tr w:rsidR="005663BA" w:rsidRPr="004C4D6B" w14:paraId="70629CBB" w14:textId="77777777" w:rsidTr="00EF0205">
        <w:tc>
          <w:tcPr>
            <w:tcW w:w="1082" w:type="dxa"/>
          </w:tcPr>
          <w:p w14:paraId="0080B6A7" w14:textId="12B762AA" w:rsidR="005663BA" w:rsidRPr="004C4D6B" w:rsidRDefault="005663BA" w:rsidP="00EF0205">
            <w:pPr>
              <w:pStyle w:val="Level1Body"/>
              <w:rPr>
                <w:rFonts w:cs="Arial"/>
              </w:rPr>
            </w:pPr>
            <w:r w:rsidRPr="004C4D6B">
              <w:rPr>
                <w:rFonts w:cs="Arial"/>
              </w:rPr>
              <w:t>9.</w:t>
            </w:r>
          </w:p>
        </w:tc>
        <w:tc>
          <w:tcPr>
            <w:tcW w:w="1462" w:type="dxa"/>
          </w:tcPr>
          <w:p w14:paraId="64EBE375" w14:textId="06A45287" w:rsidR="005663BA" w:rsidRPr="004C4D6B" w:rsidRDefault="005663BA" w:rsidP="00A0137E">
            <w:pPr>
              <w:pStyle w:val="Level1Body"/>
              <w:jc w:val="left"/>
              <w:rPr>
                <w:rFonts w:cs="Arial"/>
              </w:rPr>
            </w:pPr>
            <w:r w:rsidRPr="004C4D6B">
              <w:rPr>
                <w:rFonts w:cs="Arial"/>
              </w:rPr>
              <w:t>Section V.F Scheduled Cleaning</w:t>
            </w:r>
          </w:p>
        </w:tc>
        <w:tc>
          <w:tcPr>
            <w:tcW w:w="1060" w:type="dxa"/>
          </w:tcPr>
          <w:p w14:paraId="4881F895" w14:textId="10584837" w:rsidR="005663BA" w:rsidRPr="004C4D6B" w:rsidRDefault="005663BA" w:rsidP="00A0137E">
            <w:pPr>
              <w:pStyle w:val="Level1Body"/>
              <w:jc w:val="left"/>
              <w:rPr>
                <w:rFonts w:cs="Arial"/>
              </w:rPr>
            </w:pPr>
            <w:r w:rsidRPr="004C4D6B">
              <w:rPr>
                <w:rFonts w:cs="Arial"/>
              </w:rPr>
              <w:t>Page 23</w:t>
            </w:r>
          </w:p>
        </w:tc>
        <w:tc>
          <w:tcPr>
            <w:tcW w:w="2788" w:type="dxa"/>
          </w:tcPr>
          <w:p w14:paraId="3D2A473E" w14:textId="474BF6EF" w:rsidR="005663BA" w:rsidRPr="004C4D6B" w:rsidRDefault="005663BA" w:rsidP="00A0137E">
            <w:pPr>
              <w:pStyle w:val="Level1Body"/>
              <w:jc w:val="left"/>
              <w:rPr>
                <w:rFonts w:cs="Arial"/>
              </w:rPr>
            </w:pPr>
            <w:r w:rsidRPr="004C4D6B">
              <w:rPr>
                <w:rFonts w:cs="Arial"/>
              </w:rPr>
              <w:t>Should carpet cleaning (including semi-annual cleaning) be included within the base monthly cost, or priced separately as an additional service?</w:t>
            </w:r>
          </w:p>
        </w:tc>
        <w:tc>
          <w:tcPr>
            <w:tcW w:w="2958" w:type="dxa"/>
          </w:tcPr>
          <w:p w14:paraId="19FBEA92" w14:textId="75CF3705" w:rsidR="005663BA" w:rsidRPr="004C4D6B" w:rsidRDefault="002A21C6" w:rsidP="004C4D6B">
            <w:pPr>
              <w:pStyle w:val="Level1Body"/>
              <w:jc w:val="left"/>
              <w:rPr>
                <w:rFonts w:cs="Arial"/>
              </w:rPr>
            </w:pPr>
            <w:r w:rsidRPr="004C4D6B">
              <w:rPr>
                <w:rFonts w:cs="Arial"/>
              </w:rPr>
              <w:t xml:space="preserve">Yes, this should be included in the base cost, not as a separate service. </w:t>
            </w:r>
          </w:p>
        </w:tc>
      </w:tr>
      <w:tr w:rsidR="005663BA" w:rsidRPr="004C4D6B" w14:paraId="066D9E71" w14:textId="77777777" w:rsidTr="00EF0205">
        <w:tc>
          <w:tcPr>
            <w:tcW w:w="1082" w:type="dxa"/>
          </w:tcPr>
          <w:p w14:paraId="3AFC837A" w14:textId="2616975A" w:rsidR="005663BA" w:rsidRPr="004C4D6B" w:rsidRDefault="005663BA" w:rsidP="00EF0205">
            <w:pPr>
              <w:pStyle w:val="Level1Body"/>
              <w:rPr>
                <w:rFonts w:cs="Arial"/>
              </w:rPr>
            </w:pPr>
            <w:r w:rsidRPr="004C4D6B">
              <w:rPr>
                <w:rFonts w:cs="Arial"/>
              </w:rPr>
              <w:t>10.</w:t>
            </w:r>
          </w:p>
        </w:tc>
        <w:tc>
          <w:tcPr>
            <w:tcW w:w="1462" w:type="dxa"/>
          </w:tcPr>
          <w:p w14:paraId="044CBD8A" w14:textId="66BEC3EF" w:rsidR="005663BA" w:rsidRPr="004C4D6B" w:rsidRDefault="005663BA" w:rsidP="00A0137E">
            <w:pPr>
              <w:pStyle w:val="Level1Body"/>
              <w:jc w:val="left"/>
              <w:rPr>
                <w:rFonts w:cs="Arial"/>
              </w:rPr>
            </w:pPr>
            <w:r w:rsidRPr="004C4D6B">
              <w:rPr>
                <w:rFonts w:cs="Arial"/>
              </w:rPr>
              <w:t>Section V.C / Business Requirements</w:t>
            </w:r>
          </w:p>
        </w:tc>
        <w:tc>
          <w:tcPr>
            <w:tcW w:w="1060" w:type="dxa"/>
          </w:tcPr>
          <w:p w14:paraId="0F0FF808" w14:textId="3543D79E" w:rsidR="005663BA" w:rsidRPr="004C4D6B" w:rsidRDefault="005663BA" w:rsidP="00A0137E">
            <w:pPr>
              <w:pStyle w:val="Level1Body"/>
              <w:jc w:val="left"/>
              <w:rPr>
                <w:rFonts w:cs="Arial"/>
              </w:rPr>
            </w:pPr>
            <w:r w:rsidRPr="004C4D6B">
              <w:rPr>
                <w:rFonts w:cs="Arial"/>
              </w:rPr>
              <w:t>Page 22</w:t>
            </w:r>
          </w:p>
        </w:tc>
        <w:tc>
          <w:tcPr>
            <w:tcW w:w="2788" w:type="dxa"/>
          </w:tcPr>
          <w:p w14:paraId="72AAF46A" w14:textId="34864E48" w:rsidR="005663BA" w:rsidRPr="004C4D6B" w:rsidRDefault="005663BA" w:rsidP="00A0137E">
            <w:pPr>
              <w:pStyle w:val="Level1Body"/>
              <w:jc w:val="left"/>
              <w:rPr>
                <w:rFonts w:cs="Arial"/>
              </w:rPr>
            </w:pPr>
            <w:r w:rsidRPr="004C4D6B">
              <w:rPr>
                <w:rFonts w:cs="Arial"/>
              </w:rPr>
              <w:t>Should vendors provide pricing based strictly on the defined scope of work, or should pricing assume full staffing coverage for the entire 8:00 AM to 3:00 PM daily window?</w:t>
            </w:r>
          </w:p>
        </w:tc>
        <w:tc>
          <w:tcPr>
            <w:tcW w:w="2958" w:type="dxa"/>
          </w:tcPr>
          <w:p w14:paraId="236F787A" w14:textId="570B65EA" w:rsidR="005663BA" w:rsidRPr="004C4D6B" w:rsidRDefault="002A21C6" w:rsidP="004C4D6B">
            <w:pPr>
              <w:pStyle w:val="Level1Body"/>
              <w:jc w:val="left"/>
              <w:rPr>
                <w:rFonts w:cs="Arial"/>
              </w:rPr>
            </w:pPr>
            <w:r w:rsidRPr="004C4D6B">
              <w:rPr>
                <w:rFonts w:cs="Arial"/>
              </w:rPr>
              <w:t xml:space="preserve">Yes, pricing should be for </w:t>
            </w:r>
            <w:r w:rsidR="004C4D6B" w:rsidRPr="004C4D6B">
              <w:rPr>
                <w:rFonts w:cs="Arial"/>
              </w:rPr>
              <w:t>staffing 8</w:t>
            </w:r>
            <w:r w:rsidRPr="004C4D6B">
              <w:rPr>
                <w:rFonts w:cs="Arial"/>
              </w:rPr>
              <w:t>:00 am to 3:00 pm.</w:t>
            </w:r>
          </w:p>
        </w:tc>
      </w:tr>
      <w:tr w:rsidR="005663BA" w:rsidRPr="004C4D6B" w14:paraId="4B63CF4B" w14:textId="77777777" w:rsidTr="00EF0205">
        <w:tc>
          <w:tcPr>
            <w:tcW w:w="1082" w:type="dxa"/>
          </w:tcPr>
          <w:p w14:paraId="731ACD19" w14:textId="28A97B2F" w:rsidR="005663BA" w:rsidRPr="004C4D6B" w:rsidRDefault="005663BA" w:rsidP="00EF0205">
            <w:pPr>
              <w:pStyle w:val="Level1Body"/>
              <w:rPr>
                <w:rFonts w:cs="Arial"/>
              </w:rPr>
            </w:pPr>
            <w:r w:rsidRPr="004C4D6B">
              <w:rPr>
                <w:rFonts w:cs="Arial"/>
              </w:rPr>
              <w:t>11.</w:t>
            </w:r>
          </w:p>
        </w:tc>
        <w:tc>
          <w:tcPr>
            <w:tcW w:w="1462" w:type="dxa"/>
          </w:tcPr>
          <w:p w14:paraId="663B2C38" w14:textId="240F165B" w:rsidR="005663BA" w:rsidRPr="004C4D6B" w:rsidRDefault="005663BA" w:rsidP="00A0137E">
            <w:pPr>
              <w:pStyle w:val="Level1Body"/>
              <w:jc w:val="left"/>
              <w:rPr>
                <w:rFonts w:cs="Arial"/>
              </w:rPr>
            </w:pPr>
            <w:r w:rsidRPr="004C4D6B">
              <w:rPr>
                <w:rFonts w:cs="Arial"/>
              </w:rPr>
              <w:t>Section II.O Performance Bond</w:t>
            </w:r>
          </w:p>
        </w:tc>
        <w:tc>
          <w:tcPr>
            <w:tcW w:w="1060" w:type="dxa"/>
          </w:tcPr>
          <w:p w14:paraId="071C4F2B" w14:textId="3DF96A7D" w:rsidR="005663BA" w:rsidRPr="004C4D6B" w:rsidRDefault="005663BA" w:rsidP="00A0137E">
            <w:pPr>
              <w:pStyle w:val="Level1Body"/>
              <w:jc w:val="left"/>
              <w:rPr>
                <w:rFonts w:cs="Arial"/>
              </w:rPr>
            </w:pPr>
            <w:r w:rsidRPr="004C4D6B">
              <w:rPr>
                <w:rFonts w:cs="Arial"/>
              </w:rPr>
              <w:t>Page 11</w:t>
            </w:r>
          </w:p>
        </w:tc>
        <w:tc>
          <w:tcPr>
            <w:tcW w:w="2788" w:type="dxa"/>
          </w:tcPr>
          <w:p w14:paraId="6415CA88" w14:textId="05D55A2B" w:rsidR="005663BA" w:rsidRPr="004C4D6B" w:rsidRDefault="005663BA" w:rsidP="00A0137E">
            <w:pPr>
              <w:pStyle w:val="Level1Body"/>
              <w:jc w:val="left"/>
              <w:rPr>
                <w:rFonts w:cs="Arial"/>
              </w:rPr>
            </w:pPr>
            <w:r w:rsidRPr="004C4D6B">
              <w:rPr>
                <w:rFonts w:cs="Arial"/>
              </w:rPr>
              <w:t>Under what conditions will the $35,000 performance bond be required, and at what stage in the award process?</w:t>
            </w:r>
          </w:p>
        </w:tc>
        <w:tc>
          <w:tcPr>
            <w:tcW w:w="2958" w:type="dxa"/>
          </w:tcPr>
          <w:p w14:paraId="3307C02A" w14:textId="578BCBB0" w:rsidR="005663BA" w:rsidRPr="004C4D6B" w:rsidRDefault="00D440A8" w:rsidP="004C4D6B">
            <w:pPr>
              <w:pStyle w:val="Level1Body"/>
              <w:jc w:val="left"/>
              <w:rPr>
                <w:rFonts w:cs="Arial"/>
              </w:rPr>
            </w:pPr>
            <w:r w:rsidRPr="004C4D6B">
              <w:rPr>
                <w:rFonts w:cs="Arial"/>
              </w:rPr>
              <w:t xml:space="preserve">The winning bidder will </w:t>
            </w:r>
            <w:r w:rsidR="0067451D" w:rsidRPr="004C4D6B">
              <w:rPr>
                <w:rFonts w:cs="Arial"/>
              </w:rPr>
              <w:t xml:space="preserve">be expected to </w:t>
            </w:r>
            <w:r w:rsidRPr="004C4D6B">
              <w:rPr>
                <w:rFonts w:cs="Arial"/>
              </w:rPr>
              <w:t xml:space="preserve">provide bond documents prior to contract start date.  </w:t>
            </w:r>
          </w:p>
        </w:tc>
      </w:tr>
      <w:tr w:rsidR="005663BA" w:rsidRPr="004C4D6B" w14:paraId="4DEC2632" w14:textId="77777777" w:rsidTr="00EF0205">
        <w:tc>
          <w:tcPr>
            <w:tcW w:w="1082" w:type="dxa"/>
          </w:tcPr>
          <w:p w14:paraId="4D151985" w14:textId="1E070439" w:rsidR="005663BA" w:rsidRPr="004C4D6B" w:rsidRDefault="005663BA" w:rsidP="00EF0205">
            <w:pPr>
              <w:pStyle w:val="Level1Body"/>
              <w:rPr>
                <w:rFonts w:cs="Arial"/>
              </w:rPr>
            </w:pPr>
            <w:r w:rsidRPr="004C4D6B">
              <w:rPr>
                <w:rFonts w:cs="Arial"/>
              </w:rPr>
              <w:t>12.</w:t>
            </w:r>
          </w:p>
        </w:tc>
        <w:tc>
          <w:tcPr>
            <w:tcW w:w="1462" w:type="dxa"/>
          </w:tcPr>
          <w:p w14:paraId="3D80F1D6" w14:textId="7D7A8758" w:rsidR="005663BA" w:rsidRPr="004C4D6B" w:rsidRDefault="005663BA" w:rsidP="00A0137E">
            <w:pPr>
              <w:pStyle w:val="Level1Body"/>
              <w:jc w:val="left"/>
              <w:rPr>
                <w:rFonts w:cs="Arial"/>
              </w:rPr>
            </w:pPr>
            <w:r w:rsidRPr="004C4D6B">
              <w:rPr>
                <w:rFonts w:cs="Arial"/>
              </w:rPr>
              <w:t>Section I.C Schedule of Events</w:t>
            </w:r>
          </w:p>
        </w:tc>
        <w:tc>
          <w:tcPr>
            <w:tcW w:w="1060" w:type="dxa"/>
          </w:tcPr>
          <w:p w14:paraId="16CA7583" w14:textId="0959A6F6" w:rsidR="005663BA" w:rsidRPr="004C4D6B" w:rsidRDefault="005663BA" w:rsidP="00A0137E">
            <w:pPr>
              <w:pStyle w:val="Level1Body"/>
              <w:jc w:val="left"/>
              <w:rPr>
                <w:rFonts w:cs="Arial"/>
              </w:rPr>
            </w:pPr>
            <w:r w:rsidRPr="004C4D6B">
              <w:rPr>
                <w:rFonts w:cs="Arial"/>
              </w:rPr>
              <w:t>Page 2</w:t>
            </w:r>
          </w:p>
        </w:tc>
        <w:tc>
          <w:tcPr>
            <w:tcW w:w="2788" w:type="dxa"/>
          </w:tcPr>
          <w:p w14:paraId="700AE31A" w14:textId="386BB70C" w:rsidR="005663BA" w:rsidRPr="004C4D6B" w:rsidRDefault="005663BA" w:rsidP="00A0137E">
            <w:pPr>
              <w:pStyle w:val="Level1Body"/>
              <w:jc w:val="left"/>
              <w:rPr>
                <w:rFonts w:cs="Arial"/>
              </w:rPr>
            </w:pPr>
            <w:r w:rsidRPr="004C4D6B">
              <w:rPr>
                <w:rFonts w:cs="Arial"/>
              </w:rPr>
              <w:t>Will a site walkthrough or pre-bid meeting be offered prior to proposal submission?</w:t>
            </w:r>
          </w:p>
        </w:tc>
        <w:tc>
          <w:tcPr>
            <w:tcW w:w="2958" w:type="dxa"/>
          </w:tcPr>
          <w:p w14:paraId="6CB74558" w14:textId="29120AE9" w:rsidR="005663BA" w:rsidRPr="004C4D6B" w:rsidRDefault="002A21C6" w:rsidP="004C4D6B">
            <w:pPr>
              <w:pStyle w:val="Level1Body"/>
              <w:jc w:val="left"/>
              <w:rPr>
                <w:rFonts w:cs="Arial"/>
              </w:rPr>
            </w:pPr>
            <w:r w:rsidRPr="004C4D6B">
              <w:rPr>
                <w:rFonts w:cs="Arial"/>
              </w:rPr>
              <w:t xml:space="preserve">Access is restricted by the State </w:t>
            </w:r>
            <w:r w:rsidR="00701874" w:rsidRPr="004C4D6B">
              <w:rPr>
                <w:rFonts w:cs="Arial"/>
              </w:rPr>
              <w:t>P</w:t>
            </w:r>
            <w:r w:rsidRPr="004C4D6B">
              <w:rPr>
                <w:rFonts w:cs="Arial"/>
              </w:rPr>
              <w:t>atrol and public access is only in the lobby.</w:t>
            </w:r>
          </w:p>
        </w:tc>
      </w:tr>
    </w:tbl>
    <w:p w14:paraId="63181F19" w14:textId="77777777" w:rsidR="00932B83" w:rsidRPr="004C4D6B" w:rsidRDefault="00932B83" w:rsidP="00932B83">
      <w:pPr>
        <w:pStyle w:val="Level1Body"/>
        <w:rPr>
          <w:rFonts w:cs="Arial"/>
          <w:sz w:val="20"/>
        </w:rPr>
      </w:pPr>
      <w:r w:rsidRPr="004C4D6B">
        <w:rPr>
          <w:rFonts w:cs="Arial"/>
          <w:sz w:val="20"/>
          <w:lang w:val="en-CA"/>
        </w:rPr>
        <w:fldChar w:fldCharType="begin"/>
      </w:r>
      <w:r w:rsidRPr="004C4D6B">
        <w:rPr>
          <w:rFonts w:cs="Arial"/>
          <w:sz w:val="20"/>
          <w:lang w:val="en-CA"/>
        </w:rPr>
        <w:instrText xml:space="preserve"> SEQ CHAPTER \h \r 1</w:instrText>
      </w:r>
      <w:r w:rsidRPr="004C4D6B">
        <w:rPr>
          <w:rFonts w:cs="Arial"/>
          <w:sz w:val="20"/>
          <w:lang w:val="en-CA"/>
        </w:rPr>
        <w:fldChar w:fldCharType="end"/>
      </w:r>
    </w:p>
    <w:p w14:paraId="69ED1968" w14:textId="77777777" w:rsidR="004C4D6B" w:rsidRPr="004C4D6B" w:rsidRDefault="004C4D6B" w:rsidP="004C4D6B">
      <w:pPr>
        <w:rPr>
          <w:rFonts w:cs="Arial"/>
          <w:sz w:val="20"/>
          <w:szCs w:val="20"/>
        </w:rPr>
      </w:pPr>
      <w:r w:rsidRPr="004C4D6B">
        <w:rPr>
          <w:rFonts w:cs="Arial"/>
          <w:sz w:val="20"/>
          <w:szCs w:val="20"/>
        </w:rPr>
        <w:t>Consumables provided by the customer:</w:t>
      </w:r>
    </w:p>
    <w:p w14:paraId="25718836" w14:textId="77777777" w:rsidR="004C4D6B" w:rsidRPr="004C4D6B" w:rsidRDefault="004C4D6B" w:rsidP="004C4D6B">
      <w:pPr>
        <w:rPr>
          <w:rFonts w:cs="Arial"/>
          <w:sz w:val="20"/>
          <w:szCs w:val="20"/>
        </w:rPr>
      </w:pPr>
    </w:p>
    <w:p w14:paraId="47F48931"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 xml:space="preserve">3M Disinfectant bathroom cleaner </w:t>
      </w:r>
    </w:p>
    <w:p w14:paraId="0B3FF18C"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 xml:space="preserve">3M Window cleaner </w:t>
      </w:r>
    </w:p>
    <w:p w14:paraId="2F224C0C"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3M Floor tile cleaner</w:t>
      </w:r>
    </w:p>
    <w:p w14:paraId="51CC2713"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 xml:space="preserve">3M General-purpose cleaner </w:t>
      </w:r>
    </w:p>
    <w:p w14:paraId="2003DF04"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 xml:space="preserve">Disposable rubber gloves </w:t>
      </w:r>
    </w:p>
    <w:p w14:paraId="4F8F717F"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Georgia Pacific toilet paper</w:t>
      </w:r>
    </w:p>
    <w:p w14:paraId="4D01F532"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 xml:space="preserve">Glad 13-gallon trash bags </w:t>
      </w:r>
    </w:p>
    <w:p w14:paraId="5F2853C2"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 xml:space="preserve">Georgia Pacific paper towels </w:t>
      </w:r>
    </w:p>
    <w:p w14:paraId="29221617"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Eco Lab Hand Soap</w:t>
      </w:r>
    </w:p>
    <w:p w14:paraId="1BB63751"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Grainger 55-gallon trash bags</w:t>
      </w:r>
    </w:p>
    <w:p w14:paraId="3874D26D"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Toilet Seat Covers</w:t>
      </w:r>
    </w:p>
    <w:p w14:paraId="74B97BAE" w14:textId="77777777" w:rsidR="004C4D6B" w:rsidRPr="004C4D6B" w:rsidRDefault="004C4D6B" w:rsidP="004C4D6B">
      <w:pPr>
        <w:pStyle w:val="ListParagraph"/>
        <w:numPr>
          <w:ilvl w:val="0"/>
          <w:numId w:val="1"/>
        </w:numPr>
        <w:rPr>
          <w:rFonts w:ascii="Arial" w:hAnsi="Arial" w:cs="Arial"/>
          <w:sz w:val="20"/>
          <w:szCs w:val="20"/>
        </w:rPr>
      </w:pPr>
      <w:r w:rsidRPr="004C4D6B">
        <w:rPr>
          <w:rFonts w:ascii="Arial" w:hAnsi="Arial" w:cs="Arial"/>
          <w:sz w:val="20"/>
          <w:szCs w:val="20"/>
        </w:rPr>
        <w:t>Empty Spray Bottles</w:t>
      </w:r>
    </w:p>
    <w:p w14:paraId="258AF022" w14:textId="77777777" w:rsidR="004C4D6B" w:rsidRPr="004C4D6B" w:rsidRDefault="004C4D6B">
      <w:pPr>
        <w:rPr>
          <w:rFonts w:cs="Arial"/>
          <w:sz w:val="20"/>
          <w:szCs w:val="20"/>
        </w:rPr>
      </w:pPr>
    </w:p>
    <w:p w14:paraId="2F6DF4E0" w14:textId="0AC0E7D8" w:rsidR="00FA5ABF" w:rsidRPr="004C4D6B" w:rsidRDefault="00932B83">
      <w:pPr>
        <w:rPr>
          <w:rFonts w:cs="Arial"/>
          <w:sz w:val="20"/>
          <w:szCs w:val="20"/>
        </w:rPr>
      </w:pPr>
      <w:r w:rsidRPr="004C4D6B">
        <w:rPr>
          <w:rFonts w:cs="Arial"/>
          <w:sz w:val="20"/>
          <w:szCs w:val="20"/>
        </w:rPr>
        <w:t xml:space="preserve">This addendum will be incorporated into the solicitation. </w:t>
      </w:r>
    </w:p>
    <w:p w14:paraId="2857F358" w14:textId="77777777" w:rsidR="00932B83" w:rsidRDefault="00932B83"/>
    <w:p w14:paraId="511F32C3" w14:textId="77777777" w:rsidR="00760D32" w:rsidRPr="00760D32" w:rsidRDefault="00760D32" w:rsidP="00760D32">
      <w:pPr>
        <w:tabs>
          <w:tab w:val="left" w:pos="7000"/>
        </w:tabs>
      </w:pPr>
      <w:r>
        <w:tab/>
      </w:r>
    </w:p>
    <w:sectPr w:rsidR="00760D32" w:rsidRPr="00760D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7219" w14:textId="77777777" w:rsidR="00EF5B1B" w:rsidRDefault="00EF5B1B" w:rsidP="00932B83">
      <w:r>
        <w:separator/>
      </w:r>
    </w:p>
  </w:endnote>
  <w:endnote w:type="continuationSeparator" w:id="0">
    <w:p w14:paraId="2E79B39C" w14:textId="77777777" w:rsidR="00EF5B1B" w:rsidRDefault="00EF5B1B"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197D"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A73F" w14:textId="77777777" w:rsidR="00937FD6" w:rsidRPr="00937FD6" w:rsidRDefault="00937FD6" w:rsidP="00937FD6">
    <w:pPr>
      <w:pStyle w:val="Footer"/>
      <w:jc w:val="right"/>
      <w:rPr>
        <w:sz w:val="20"/>
        <w:szCs w:val="20"/>
      </w:rPr>
    </w:pPr>
    <w:r w:rsidRPr="00937FD6">
      <w:rPr>
        <w:sz w:val="20"/>
        <w:szCs w:val="20"/>
      </w:rPr>
      <w:t>SPB Form 26</w:t>
    </w:r>
  </w:p>
  <w:p w14:paraId="3348E312" w14:textId="77777777" w:rsidR="00937FD6" w:rsidRPr="00937FD6" w:rsidRDefault="00937FD6" w:rsidP="00937FD6">
    <w:pPr>
      <w:pStyle w:val="Footer"/>
      <w:jc w:val="right"/>
      <w:rPr>
        <w:sz w:val="20"/>
        <w:szCs w:val="20"/>
      </w:rPr>
    </w:pPr>
    <w:r w:rsidRPr="00937FD6">
      <w:rPr>
        <w:sz w:val="20"/>
        <w:szCs w:val="20"/>
      </w:rPr>
      <w:t>Last Revised 4-17-2025</w:t>
    </w:r>
  </w:p>
  <w:p w14:paraId="0E3BF273" w14:textId="77777777" w:rsidR="00937FD6" w:rsidRPr="00937FD6" w:rsidRDefault="00EF5B1B"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2CD0CF24"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4107"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7153" w14:textId="77777777" w:rsidR="00EF5B1B" w:rsidRDefault="00EF5B1B" w:rsidP="00932B83">
      <w:r>
        <w:separator/>
      </w:r>
    </w:p>
  </w:footnote>
  <w:footnote w:type="continuationSeparator" w:id="0">
    <w:p w14:paraId="4EF96AAA" w14:textId="77777777" w:rsidR="00EF5B1B" w:rsidRDefault="00EF5B1B"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A067"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D4A6"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46AB"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6F55"/>
    <w:multiLevelType w:val="hybridMultilevel"/>
    <w:tmpl w:val="C71C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87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7D"/>
    <w:rsid w:val="00013341"/>
    <w:rsid w:val="00086976"/>
    <w:rsid w:val="000B5D16"/>
    <w:rsid w:val="000D3984"/>
    <w:rsid w:val="000E2D5E"/>
    <w:rsid w:val="000F7E7D"/>
    <w:rsid w:val="0010233F"/>
    <w:rsid w:val="0018018B"/>
    <w:rsid w:val="002463A4"/>
    <w:rsid w:val="00256728"/>
    <w:rsid w:val="002A21C6"/>
    <w:rsid w:val="002C53FA"/>
    <w:rsid w:val="002D659A"/>
    <w:rsid w:val="004451ED"/>
    <w:rsid w:val="004B0997"/>
    <w:rsid w:val="004C4D6B"/>
    <w:rsid w:val="004D58D7"/>
    <w:rsid w:val="00553824"/>
    <w:rsid w:val="005663BA"/>
    <w:rsid w:val="005B29AD"/>
    <w:rsid w:val="00601AB5"/>
    <w:rsid w:val="0067451D"/>
    <w:rsid w:val="0070025A"/>
    <w:rsid w:val="00701874"/>
    <w:rsid w:val="00760D32"/>
    <w:rsid w:val="00804F85"/>
    <w:rsid w:val="008141E2"/>
    <w:rsid w:val="008B7C99"/>
    <w:rsid w:val="008D421B"/>
    <w:rsid w:val="00914DB7"/>
    <w:rsid w:val="00932B83"/>
    <w:rsid w:val="00937FD6"/>
    <w:rsid w:val="009B10A8"/>
    <w:rsid w:val="00A0137E"/>
    <w:rsid w:val="00A37DE7"/>
    <w:rsid w:val="00A4343C"/>
    <w:rsid w:val="00A55CE9"/>
    <w:rsid w:val="00A74CCC"/>
    <w:rsid w:val="00A802F9"/>
    <w:rsid w:val="00AA23A4"/>
    <w:rsid w:val="00AD6DB9"/>
    <w:rsid w:val="00B40DED"/>
    <w:rsid w:val="00B82346"/>
    <w:rsid w:val="00BF34B3"/>
    <w:rsid w:val="00C45F2E"/>
    <w:rsid w:val="00D440A8"/>
    <w:rsid w:val="00D714BC"/>
    <w:rsid w:val="00DE2B33"/>
    <w:rsid w:val="00E13511"/>
    <w:rsid w:val="00E2632D"/>
    <w:rsid w:val="00E4772F"/>
    <w:rsid w:val="00E5209C"/>
    <w:rsid w:val="00E8339B"/>
    <w:rsid w:val="00EB4B2C"/>
    <w:rsid w:val="00EF0205"/>
    <w:rsid w:val="00EF5B1B"/>
    <w:rsid w:val="00EF689B"/>
    <w:rsid w:val="00F26A3A"/>
    <w:rsid w:val="00F30E60"/>
    <w:rsid w:val="00F52402"/>
    <w:rsid w:val="00FA5ABF"/>
    <w:rsid w:val="00FB1775"/>
    <w:rsid w:val="00FC364B"/>
    <w:rsid w:val="00FC4A64"/>
    <w:rsid w:val="00FC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E71D"/>
  <w15:chartTrackingRefBased/>
  <w15:docId w15:val="{69EF1C18-4317-4FB2-B7F9-A2D9B311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paragraph" w:styleId="ListParagraph">
    <w:name w:val="List Paragraph"/>
    <w:basedOn w:val="Normal"/>
    <w:uiPriority w:val="34"/>
    <w:qFormat/>
    <w:rsid w:val="004C4D6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26 - Solicitation Addendum - Q&amp;A</Template>
  <TotalTime>8</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Rowlands, Kelly</cp:lastModifiedBy>
  <cp:revision>6</cp:revision>
  <dcterms:created xsi:type="dcterms:W3CDTF">2026-07-06T13:34:00Z</dcterms:created>
  <dcterms:modified xsi:type="dcterms:W3CDTF">2026-07-06T13:44:00Z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3c6dc392-8884-4aee-8580-f1f39151667f</vt:lpwstr>
  </property>
</Properties>
</file>